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6F59" w14:textId="77777777" w:rsidR="00C57B37" w:rsidRPr="00817B8B" w:rsidRDefault="00C57B37" w:rsidP="000F2C46">
      <w:pPr>
        <w:pStyle w:val="ListParagraph"/>
        <w:jc w:val="center"/>
        <w:rPr>
          <w:b/>
          <w:sz w:val="24"/>
          <w:szCs w:val="24"/>
        </w:rPr>
      </w:pPr>
    </w:p>
    <w:p w14:paraId="0FA2ECAF" w14:textId="4424B126" w:rsidR="00C57B37" w:rsidRPr="00817B8B" w:rsidRDefault="00F57842" w:rsidP="00C57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B8B">
        <w:rPr>
          <w:rFonts w:ascii="Times New Roman" w:eastAsia="Times New Roman" w:hAnsi="Times New Roman" w:cs="Times New Roman"/>
          <w:b/>
          <w:sz w:val="24"/>
          <w:szCs w:val="24"/>
        </w:rPr>
        <w:t>Приложение № 5</w:t>
      </w:r>
      <w:r w:rsidR="00C57B37" w:rsidRPr="00817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ADDE0C" w14:textId="77777777" w:rsidR="00C57B37" w:rsidRPr="00817B8B" w:rsidRDefault="00C57B37" w:rsidP="00817B8B">
      <w:pPr>
        <w:pStyle w:val="ListParagraph"/>
        <w:jc w:val="center"/>
        <w:rPr>
          <w:b/>
          <w:sz w:val="24"/>
          <w:szCs w:val="24"/>
        </w:rPr>
      </w:pPr>
    </w:p>
    <w:p w14:paraId="343718E9" w14:textId="57D46B53" w:rsidR="00817B8B" w:rsidRPr="00817B8B" w:rsidRDefault="00817B8B" w:rsidP="00817B8B">
      <w:pPr>
        <w:spacing w:after="0" w:line="240" w:lineRule="auto"/>
        <w:ind w:right="20" w:firstLine="68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„Индустриален и логистичен парк – Бургас“</w:t>
      </w:r>
      <w:r w:rsidRPr="00817B8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АД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(ИЛПБ АД)</w:t>
      </w:r>
    </w:p>
    <w:p w14:paraId="40C3718B" w14:textId="77777777" w:rsidR="00817B8B" w:rsidRPr="00817B8B" w:rsidRDefault="00817B8B" w:rsidP="00817B8B">
      <w:pPr>
        <w:spacing w:after="0" w:line="240" w:lineRule="auto"/>
        <w:ind w:right="20"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4E7C59A" w14:textId="2A7525EB" w:rsidR="00817B8B" w:rsidRPr="00817B8B" w:rsidRDefault="00817B8B" w:rsidP="00817B8B">
      <w:pPr>
        <w:shd w:val="clear" w:color="auto" w:fill="FFFFFF"/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Дружество е създадено през 2012 г., като резултат на партньорството между Община Бургас и „Национална компания индустриални зони“ ЕАД. Към м. </w:t>
      </w:r>
      <w:r w:rsidRPr="00817B8B"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г. капиталът му е в размер на </w:t>
      </w:r>
      <w:bookmarkStart w:id="0" w:name="_Hlk146810825"/>
      <w:r w:rsidRPr="00817B8B">
        <w:rPr>
          <w:rFonts w:ascii="Times New Roman" w:eastAsia="Calibri" w:hAnsi="Times New Roman" w:cs="Times New Roman"/>
          <w:sz w:val="24"/>
          <w:szCs w:val="24"/>
        </w:rPr>
        <w:t>27</w:t>
      </w:r>
      <w:r w:rsidRPr="00817B8B">
        <w:rPr>
          <w:rFonts w:ascii="Times New Roman" w:eastAsia="Calibri" w:hAnsi="Times New Roman" w:cs="Times New Roman"/>
          <w:sz w:val="24"/>
          <w:szCs w:val="24"/>
        </w:rPr>
        <w:t> </w:t>
      </w:r>
      <w:r w:rsidRPr="00817B8B">
        <w:rPr>
          <w:rFonts w:ascii="Times New Roman" w:eastAsia="Calibri" w:hAnsi="Times New Roman" w:cs="Times New Roman"/>
          <w:sz w:val="24"/>
          <w:szCs w:val="24"/>
        </w:rPr>
        <w:t>945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B8B">
        <w:rPr>
          <w:rFonts w:ascii="Times New Roman" w:eastAsia="Calibri" w:hAnsi="Times New Roman" w:cs="Times New Roman"/>
          <w:sz w:val="24"/>
          <w:szCs w:val="24"/>
        </w:rPr>
        <w:t>70</w:t>
      </w:r>
      <w:bookmarkEnd w:id="0"/>
      <w:r w:rsidRPr="00817B8B">
        <w:rPr>
          <w:rFonts w:ascii="Times New Roman" w:eastAsia="Calibri" w:hAnsi="Times New Roman" w:cs="Times New Roman"/>
          <w:sz w:val="24"/>
          <w:szCs w:val="24"/>
        </w:rPr>
        <w:t>0 лв., разпределен в 2</w:t>
      </w:r>
      <w:r w:rsidRPr="00817B8B">
        <w:rPr>
          <w:rFonts w:ascii="Times New Roman" w:eastAsia="Calibri" w:hAnsi="Times New Roman" w:cs="Times New Roman"/>
          <w:sz w:val="24"/>
          <w:szCs w:val="24"/>
        </w:rPr>
        <w:t> </w:t>
      </w:r>
      <w:r w:rsidRPr="00817B8B">
        <w:rPr>
          <w:rFonts w:ascii="Times New Roman" w:eastAsia="Calibri" w:hAnsi="Times New Roman" w:cs="Times New Roman"/>
          <w:sz w:val="24"/>
          <w:szCs w:val="24"/>
        </w:rPr>
        <w:t>794</w:t>
      </w:r>
      <w:r w:rsidRPr="00817B8B">
        <w:rPr>
          <w:rFonts w:ascii="Times New Roman" w:eastAsia="Calibri" w:hAnsi="Times New Roman" w:cs="Times New Roman"/>
          <w:sz w:val="24"/>
          <w:szCs w:val="24"/>
        </w:rPr>
        <w:t> </w:t>
      </w:r>
      <w:r w:rsidRPr="00817B8B">
        <w:rPr>
          <w:rFonts w:ascii="Times New Roman" w:eastAsia="Calibri" w:hAnsi="Times New Roman" w:cs="Times New Roman"/>
          <w:sz w:val="24"/>
          <w:szCs w:val="24"/>
        </w:rPr>
        <w:t>570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акции с номинална стойност 10 лв. всяка една, от които </w:t>
      </w:r>
      <w:r w:rsidRPr="00817B8B">
        <w:rPr>
          <w:rFonts w:ascii="Times New Roman" w:eastAsia="Calibri" w:hAnsi="Times New Roman" w:cs="Times New Roman"/>
          <w:sz w:val="24"/>
          <w:szCs w:val="24"/>
        </w:rPr>
        <w:t>897 519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бр. акции или 32,12% са собственост на Община Бургас, а 1 897</w:t>
      </w:r>
      <w:r w:rsidRPr="00817B8B">
        <w:rPr>
          <w:rFonts w:ascii="Times New Roman" w:eastAsia="Calibri" w:hAnsi="Times New Roman" w:cs="Times New Roman"/>
          <w:sz w:val="24"/>
          <w:szCs w:val="24"/>
        </w:rPr>
        <w:t> </w:t>
      </w:r>
      <w:r w:rsidRPr="00817B8B">
        <w:rPr>
          <w:rFonts w:ascii="Times New Roman" w:eastAsia="Calibri" w:hAnsi="Times New Roman" w:cs="Times New Roman"/>
          <w:sz w:val="24"/>
          <w:szCs w:val="24"/>
        </w:rPr>
        <w:t>051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B8B">
        <w:rPr>
          <w:rFonts w:ascii="Times New Roman" w:eastAsia="Calibri" w:hAnsi="Times New Roman" w:cs="Times New Roman"/>
          <w:sz w:val="24"/>
          <w:szCs w:val="24"/>
        </w:rPr>
        <w:t>бр. акции или 67,88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B8B">
        <w:rPr>
          <w:rFonts w:ascii="Times New Roman" w:eastAsia="Calibri" w:hAnsi="Times New Roman" w:cs="Times New Roman"/>
          <w:sz w:val="24"/>
          <w:szCs w:val="24"/>
        </w:rPr>
        <w:t>% - собственост на „Национална компания индустриални зони“ ЕАД.</w:t>
      </w:r>
    </w:p>
    <w:p w14:paraId="6A947232" w14:textId="77777777" w:rsidR="00817B8B" w:rsidRPr="00817B8B" w:rsidRDefault="00817B8B" w:rsidP="00817B8B">
      <w:pPr>
        <w:shd w:val="clear" w:color="auto" w:fill="FFFFFF"/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„Индустриален и логистичен парк – Бургас“ АД разработва две територии, разположени в Промишлена зона „Север” и в Промишлена зона „Юг-Запад“ на гр. Бургас. </w:t>
      </w:r>
    </w:p>
    <w:p w14:paraId="5BEDCC6B" w14:textId="77777777" w:rsidR="00817B8B" w:rsidRPr="00817B8B" w:rsidRDefault="00817B8B" w:rsidP="00817B8B">
      <w:pPr>
        <w:shd w:val="clear" w:color="auto" w:fill="FFFFFF"/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След приемането на Закона за индустриалните паркове на 12.03.2021 г., </w:t>
      </w:r>
      <w:bookmarkStart w:id="1" w:name="_Hlk131681260"/>
      <w:r w:rsidRPr="00817B8B">
        <w:rPr>
          <w:rFonts w:ascii="Times New Roman" w:eastAsia="Calibri" w:hAnsi="Times New Roman" w:cs="Times New Roman"/>
          <w:sz w:val="24"/>
          <w:szCs w:val="24"/>
        </w:rPr>
        <w:t>„Индустриален и логистичен парк – Бургас“ АД</w:t>
      </w:r>
      <w:bookmarkEnd w:id="1"/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, регистрира двете територии, като 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Индустриален парк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Бургас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Фаза 1 </w:t>
      </w:r>
      <w:r w:rsidRPr="00817B8B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2" w:name="_Hlk106020182"/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Индустриален парк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Бургас 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Фаза 2.</w:t>
      </w:r>
    </w:p>
    <w:bookmarkEnd w:id="2"/>
    <w:p w14:paraId="5C8757E4" w14:textId="77777777" w:rsidR="00817B8B" w:rsidRDefault="00817B8B" w:rsidP="00817B8B">
      <w:pPr>
        <w:shd w:val="clear" w:color="auto" w:fill="FFFFFF"/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FB71B76" w14:textId="4763D8F7" w:rsidR="00817B8B" w:rsidRPr="00817B8B" w:rsidRDefault="00817B8B" w:rsidP="00817B8B">
      <w:pPr>
        <w:shd w:val="clear" w:color="auto" w:fill="FFFFFF"/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Индустриален парк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Бургас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Фаза 1</w:t>
      </w:r>
      <w:r w:rsidRPr="00817B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7B8B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1EA559CE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>Разположен на територия от 254 дка, находящи се в Промишлена зона  „Север“ – гр. Бургас. Паркът е стратегически ситуиран до товарна гара и разполага с директна ЖП линия до „Порт Бургас“. Размерите на обособените имоти са малки, поради което парка е подходящ основно за малки и средни компании, развиващи производство и логистика.</w:t>
      </w:r>
      <w:r w:rsidRPr="00817B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 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Инфраструктурата е напълно изградена. Всеки един от имотите е обезпечен с необходимата ВиК инфраструктура, ток, газ и оптика. </w:t>
      </w:r>
    </w:p>
    <w:p w14:paraId="487308CE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>Изградена е административна сграда с РЗП 1205 кв.м., в която са създадени условия за цялостното административно обслужване на настоящите и бъдещите инвеститори. Сградата дава възможност за провеждане на конференции, семинари, спортни мероприятия и др. събития, в услуга на бизнеса. Част от помещенията се използват от външни потребители срещу наем.</w:t>
      </w:r>
    </w:p>
    <w:p w14:paraId="00259FEE" w14:textId="77777777" w:rsidR="00817B8B" w:rsidRPr="00817B8B" w:rsidRDefault="00817B8B" w:rsidP="00817B8B">
      <w:pPr>
        <w:shd w:val="clear" w:color="auto" w:fill="FFFFFF"/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>В парка са привлечени проекти, свързани с леки производства, складова дейност и услуги. Общият размер на заявените инвестиции възлиза над 82 млн. лева, а заявените работни места над 860.</w:t>
      </w:r>
    </w:p>
    <w:p w14:paraId="72B8591D" w14:textId="77777777" w:rsidR="00817B8B" w:rsidRDefault="00817B8B" w:rsidP="00817B8B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2E524ACD" w14:textId="4F43AFB4" w:rsidR="00817B8B" w:rsidRPr="00817B8B" w:rsidRDefault="00817B8B" w:rsidP="00817B8B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Индустриален парк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Бургас </w:t>
      </w:r>
      <w:r w:rsidRPr="00817B8B">
        <w:rPr>
          <w:rFonts w:ascii="Times New Roman" w:eastAsia="Calibri" w:hAnsi="Times New Roman" w:cs="Times New Roman"/>
          <w:sz w:val="24"/>
          <w:szCs w:val="24"/>
        </w:rPr>
        <w:t>–</w:t>
      </w:r>
      <w:r w:rsidRPr="00817B8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Фаза 2</w:t>
      </w:r>
    </w:p>
    <w:p w14:paraId="260C7357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През 2018г. „Индустриален и логистичен парк – Бургас“ АД, с подкрепата на „Национална компания индустриални зони“ ЕАД и община Бургас стартира разработване на Фаза II – нова територия, находяща се в Южната промишлена зона на град Бургас, в близост до Бургаските корабостроителници и пътната връзка за кв. "Меден рудник". Общата площ на индустриалния парк е от около 640 декара. </w:t>
      </w:r>
    </w:p>
    <w:p w14:paraId="46B1946A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За територията на Фаза 2 е разработен ПУП, като са обособени 33 урегулирани поземлени имота, както и технически инвестиционен проект за обект: „Улици и техническа инфраструктура в границите на кв. 1, 2, 5, 10 и 4А по плана на Промишлена зона „Юг -Запад“ на гр. Бургас.  </w:t>
      </w:r>
    </w:p>
    <w:p w14:paraId="25978F1C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 са мероприятия по заравняване на земни маси и изместване на съществуващите електроразпределителни и ВиК съоръжения. Преместена е кабелната мрежа на EVN, изместени са електропроводите на ЕСО и водопроводите на ВиК, като новите трасета са съобразени с предвижданията на ПУП-а. Предстои изграждане на питеен и промишлен водопровод, битова канализация, канална помпена станция, улица-локално платно и др.</w:t>
      </w:r>
    </w:p>
    <w:p w14:paraId="4259EE87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>Терените са стратегически ситуирани на международния път за Турция, в непосредствена близост до пристанище Бургас, директна връзка с Международно летище и АМ Тракия и поради това интересът към тях е голям. Пример за което е закупеният през 2022 г. терен от 150 000 кв. м. от водеща компания в отбранителната индустрия, върху който ще бъде изграден нов завод за бронирани автомобили по стандартите на НАТО.</w:t>
      </w:r>
    </w:p>
    <w:p w14:paraId="0F208437" w14:textId="151BF21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>Стратегическа посока за развитие на ИЛПБ АД  ще бъде подкрепата за възникващата зелена и кръгова икономика чрез реализиране на енергийно ефективни проекти за чиста енергия, зелен транспорт за запазване устойчивостта на природните ресурси и за икономика, базирана на знанието.</w:t>
      </w:r>
    </w:p>
    <w:p w14:paraId="6D7CFD48" w14:textId="77777777" w:rsidR="00817B8B" w:rsidRPr="00817B8B" w:rsidRDefault="00817B8B" w:rsidP="00817B8B">
      <w:pPr>
        <w:shd w:val="clear" w:color="auto" w:fill="FFFFFF"/>
        <w:spacing w:after="120" w:line="240" w:lineRule="auto"/>
        <w:ind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През 2023г. се предвижда развитието и изграждането на втора фаза от „Индустриален и логистичен парк - Бургас“, да продължи както следва : </w:t>
      </w:r>
    </w:p>
    <w:p w14:paraId="6F0DA20C" w14:textId="77777777" w:rsidR="00817B8B" w:rsidRPr="00817B8B" w:rsidRDefault="00817B8B" w:rsidP="00817B8B">
      <w:pPr>
        <w:numPr>
          <w:ilvl w:val="0"/>
          <w:numId w:val="5"/>
        </w:numPr>
        <w:spacing w:after="120" w:line="240" w:lineRule="auto"/>
        <w:ind w:left="0" w:right="2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b/>
          <w:bCs/>
          <w:sz w:val="24"/>
          <w:szCs w:val="24"/>
        </w:rPr>
        <w:t>Първи етап: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Етап на разработване и предпроектни проучвания: общо проучване; собственост на земята; предназначение на земята, тип на земята; Подготвителни проучвания: а) дренажни, геоложки проучвания; б) ВиК, енергия, телекомуникации и т.н.)</w:t>
      </w:r>
    </w:p>
    <w:p w14:paraId="790E9FF7" w14:textId="77777777" w:rsidR="00817B8B" w:rsidRPr="00817B8B" w:rsidRDefault="00817B8B" w:rsidP="00817B8B">
      <w:pPr>
        <w:numPr>
          <w:ilvl w:val="0"/>
          <w:numId w:val="5"/>
        </w:numPr>
        <w:spacing w:after="120" w:line="240" w:lineRule="auto"/>
        <w:ind w:left="0" w:right="2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b/>
          <w:bCs/>
          <w:sz w:val="24"/>
          <w:szCs w:val="24"/>
        </w:rPr>
        <w:t>Втори етап: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Проектиране; Подготвителни проучвания; Инженеринг: – Транспорт: пътища (вътрешни пътища и транспортни връзки – връзки, осигуряващи междуградски достъп); типичните пътни отсечки; разположение на всички съществуващи и бъдещи подземни и надземни комунални мрежи; пътно подравняване и планове на пътното разположение; – Водоснабдяване (по възможност две мрежи: една за промишлени цели и една за питейни нужди): вътрешно разпределение; външни връзки, съоръжения за съхранение и пречистване, възможно рециклиране; трансферни тръбопроводи; – Отводнителна система за дъждовна вода: защита от наводнение и вътрешно отводняване. Крайни водосборни източници; – Събиране на канализационните води и обезвреждане: вътрешна мрежа; канализационна пречиствателна станция или друг подходящ краен реципиент. Възможно рециклиране; – Телекомуникации (вътрешни, външни); – Енергоснабдяване (вътрешно разпределение и външни връзки); Газоснабдяване (вътрешно разпределение и външни връзки) – Тръжна документация.</w:t>
      </w:r>
    </w:p>
    <w:p w14:paraId="411BBF71" w14:textId="77777777" w:rsidR="00817B8B" w:rsidRPr="00817B8B" w:rsidRDefault="00817B8B" w:rsidP="00817B8B">
      <w:pPr>
        <w:numPr>
          <w:ilvl w:val="0"/>
          <w:numId w:val="5"/>
        </w:numPr>
        <w:spacing w:after="120" w:line="240" w:lineRule="auto"/>
        <w:ind w:left="0" w:right="2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b/>
          <w:bCs/>
          <w:sz w:val="24"/>
          <w:szCs w:val="24"/>
        </w:rPr>
        <w:t>Трети етап: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Строителство на инфраструктура.</w:t>
      </w:r>
    </w:p>
    <w:p w14:paraId="608C1D80" w14:textId="77777777" w:rsidR="00817B8B" w:rsidRPr="00817B8B" w:rsidRDefault="00817B8B" w:rsidP="00817B8B">
      <w:pPr>
        <w:numPr>
          <w:ilvl w:val="0"/>
          <w:numId w:val="5"/>
        </w:numPr>
        <w:spacing w:after="120" w:line="240" w:lineRule="auto"/>
        <w:ind w:left="0" w:right="2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B8B">
        <w:rPr>
          <w:rFonts w:ascii="Times New Roman" w:eastAsia="Calibri" w:hAnsi="Times New Roman" w:cs="Times New Roman"/>
          <w:b/>
          <w:bCs/>
          <w:sz w:val="24"/>
          <w:szCs w:val="24"/>
        </w:rPr>
        <w:t>Четвърти етап:</w:t>
      </w:r>
      <w:r w:rsidRPr="00817B8B">
        <w:rPr>
          <w:rFonts w:ascii="Times New Roman" w:eastAsia="Calibri" w:hAnsi="Times New Roman" w:cs="Times New Roman"/>
          <w:sz w:val="24"/>
          <w:szCs w:val="24"/>
        </w:rPr>
        <w:t xml:space="preserve"> Продажба и/или отдаване под наем на имот или части от тях, подпомагане реализирането на заявените инвестиции и при необходимост предоставяне на допълнителни услуги, включително и поддръжка. Провеждане на обучения и организиране на мероприятия за бизнеса;</w:t>
      </w:r>
    </w:p>
    <w:p w14:paraId="6458F0D3" w14:textId="77777777" w:rsidR="00817B8B" w:rsidRDefault="00817B8B" w:rsidP="00817B8B">
      <w:pPr>
        <w:spacing w:after="120" w:line="240" w:lineRule="auto"/>
        <w:ind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8D97D" w14:textId="7BF79696" w:rsidR="000D092A" w:rsidRPr="00817B8B" w:rsidRDefault="00817B8B" w:rsidP="00817B8B">
      <w:pPr>
        <w:spacing w:after="120" w:line="240" w:lineRule="auto"/>
        <w:ind w:right="20" w:firstLine="680"/>
        <w:jc w:val="both"/>
        <w:rPr>
          <w:rFonts w:ascii="Times New Roman" w:hAnsi="Times New Roman" w:cs="Times New Roman"/>
        </w:rPr>
      </w:pPr>
      <w:r w:rsidRPr="00817B8B">
        <w:rPr>
          <w:rFonts w:ascii="Times New Roman" w:eastAsia="Calibri" w:hAnsi="Times New Roman" w:cs="Times New Roman"/>
          <w:sz w:val="24"/>
          <w:szCs w:val="24"/>
        </w:rPr>
        <w:t>„Индустриален и логистичен парк – Бургас” АД ще продължи да работи по следните основни направления: провеждане на активна маркетингова политика за привличане на чуждестранни и местни инвестиции в сектори с добавена стойност; управление на действащия парк и оптимизиране на нейните резултати; идентифициране и развитие на нови индустриални територии; изграждане на високотехнологични центрове.</w:t>
      </w:r>
    </w:p>
    <w:sectPr w:rsidR="000D092A" w:rsidRPr="00817B8B" w:rsidSect="00C57B37">
      <w:headerReference w:type="default" r:id="rId7"/>
      <w:pgSz w:w="12240" w:h="15840"/>
      <w:pgMar w:top="568" w:right="160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41EF" w14:textId="77777777" w:rsidR="00615E1C" w:rsidRDefault="00615E1C" w:rsidP="00C57B37">
      <w:pPr>
        <w:spacing w:after="0" w:line="240" w:lineRule="auto"/>
      </w:pPr>
      <w:r>
        <w:separator/>
      </w:r>
    </w:p>
  </w:endnote>
  <w:endnote w:type="continuationSeparator" w:id="0">
    <w:p w14:paraId="6A7B1FDA" w14:textId="77777777" w:rsidR="00615E1C" w:rsidRDefault="00615E1C" w:rsidP="00C5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6BC8" w14:textId="77777777" w:rsidR="00615E1C" w:rsidRDefault="00615E1C" w:rsidP="00C57B37">
      <w:pPr>
        <w:spacing w:after="0" w:line="240" w:lineRule="auto"/>
      </w:pPr>
      <w:r>
        <w:separator/>
      </w:r>
    </w:p>
  </w:footnote>
  <w:footnote w:type="continuationSeparator" w:id="0">
    <w:p w14:paraId="65983F95" w14:textId="77777777" w:rsidR="00615E1C" w:rsidRDefault="00615E1C" w:rsidP="00C5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6E08" w14:textId="77777777" w:rsidR="00C57B37" w:rsidRDefault="00C5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0F0"/>
    <w:multiLevelType w:val="hybridMultilevel"/>
    <w:tmpl w:val="F51CB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A1F"/>
    <w:multiLevelType w:val="hybridMultilevel"/>
    <w:tmpl w:val="54B651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7C30"/>
    <w:multiLevelType w:val="hybridMultilevel"/>
    <w:tmpl w:val="AED8311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5096"/>
    <w:multiLevelType w:val="multilevel"/>
    <w:tmpl w:val="B9DE096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6A447BEA"/>
    <w:multiLevelType w:val="hybridMultilevel"/>
    <w:tmpl w:val="65C80C20"/>
    <w:lvl w:ilvl="0" w:tplc="AACCCFD0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16033144">
    <w:abstractNumId w:val="3"/>
  </w:num>
  <w:num w:numId="2" w16cid:durableId="742683595">
    <w:abstractNumId w:val="1"/>
  </w:num>
  <w:num w:numId="3" w16cid:durableId="887570112">
    <w:abstractNumId w:val="0"/>
  </w:num>
  <w:num w:numId="4" w16cid:durableId="482890311">
    <w:abstractNumId w:val="2"/>
  </w:num>
  <w:num w:numId="5" w16cid:durableId="15311853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63"/>
    <w:rsid w:val="000D092A"/>
    <w:rsid w:val="000F2C46"/>
    <w:rsid w:val="00130B93"/>
    <w:rsid w:val="002A0A63"/>
    <w:rsid w:val="00301769"/>
    <w:rsid w:val="00327AEE"/>
    <w:rsid w:val="00414A37"/>
    <w:rsid w:val="00615E1C"/>
    <w:rsid w:val="00653352"/>
    <w:rsid w:val="007B067F"/>
    <w:rsid w:val="00817B8B"/>
    <w:rsid w:val="008614CC"/>
    <w:rsid w:val="00861AA8"/>
    <w:rsid w:val="00977920"/>
    <w:rsid w:val="00A74A83"/>
    <w:rsid w:val="00A95D84"/>
    <w:rsid w:val="00AE7E0B"/>
    <w:rsid w:val="00C57B37"/>
    <w:rsid w:val="00CC1BFA"/>
    <w:rsid w:val="00F57842"/>
    <w:rsid w:val="00F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65ED"/>
  <w15:chartTrackingRefBased/>
  <w15:docId w15:val="{11B4E654-4EFA-4594-8E5F-2BE424F6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4A37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414A3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14A3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37"/>
  </w:style>
  <w:style w:type="paragraph" w:styleId="Footer">
    <w:name w:val="footer"/>
    <w:basedOn w:val="Normal"/>
    <w:link w:val="FooterChar"/>
    <w:uiPriority w:val="99"/>
    <w:unhideWhenUsed/>
    <w:rsid w:val="00C57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37"/>
  </w:style>
  <w:style w:type="paragraph" w:styleId="BodyText3">
    <w:name w:val="Body Text 3"/>
    <w:basedOn w:val="Normal"/>
    <w:link w:val="BodyText3Char"/>
    <w:rsid w:val="000D09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rsid w:val="000D092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">
    <w:name w:val="Основен текст_"/>
    <w:basedOn w:val="DefaultParagraphFont"/>
    <w:link w:val="1"/>
    <w:rsid w:val="000D092A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D092A"/>
    <w:pPr>
      <w:widowControl w:val="0"/>
      <w:shd w:val="clear" w:color="auto" w:fill="FFFFFF"/>
      <w:spacing w:after="180" w:line="256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Hristov</dc:creator>
  <cp:keywords/>
  <dc:description/>
  <cp:lastModifiedBy>Reneta Vasileva</cp:lastModifiedBy>
  <cp:revision>2</cp:revision>
  <cp:lastPrinted>2022-10-24T05:46:00Z</cp:lastPrinted>
  <dcterms:created xsi:type="dcterms:W3CDTF">2023-09-28T13:32:00Z</dcterms:created>
  <dcterms:modified xsi:type="dcterms:W3CDTF">2023-09-28T13:32:00Z</dcterms:modified>
</cp:coreProperties>
</file>